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tbl>
      <w:tblPr>
        <w:tblStyle w:val="4"/>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645"/>
        <w:gridCol w:w="1807"/>
        <w:gridCol w:w="278"/>
        <w:gridCol w:w="577"/>
        <w:gridCol w:w="560"/>
        <w:gridCol w:w="796"/>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exact"/>
          <w:jc w:val="center"/>
        </w:trPr>
        <w:tc>
          <w:tcPr>
            <w:tcW w:w="1677" w:type="dxa"/>
            <w:vMerge w:val="restart"/>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307" w:type="dxa"/>
            <w:gridSpan w:val="4"/>
            <w:vMerge w:val="restart"/>
            <w:noWrap w:val="0"/>
            <w:vAlign w:val="center"/>
          </w:tcPr>
          <w:p>
            <w:pPr>
              <w:spacing w:line="260" w:lineRule="exact"/>
              <w:rPr>
                <w:rFonts w:ascii="华文中宋" w:hAnsi="华文中宋" w:eastAsia="华文中宋"/>
                <w:color w:val="000000"/>
                <w:sz w:val="28"/>
              </w:rPr>
            </w:pPr>
            <w:r>
              <w:rPr>
                <w:rFonts w:hint="eastAsia" w:ascii="仿宋" w:hAnsi="仿宋" w:eastAsia="仿宋" w:cs="仿宋"/>
                <w:kern w:val="0"/>
                <w:sz w:val="28"/>
                <w:szCs w:val="28"/>
              </w:rPr>
              <w:t xml:space="preserve"> </w:t>
            </w:r>
            <w:r>
              <w:rPr>
                <w:rFonts w:hint="eastAsia" w:ascii="仿宋" w:hAnsi="仿宋" w:eastAsia="仿宋" w:cs="仿宋"/>
                <w:kern w:val="0"/>
                <w:sz w:val="21"/>
                <w:szCs w:val="21"/>
              </w:rPr>
              <w:t xml:space="preserve"> </w:t>
            </w:r>
            <w:r>
              <w:rPr>
                <w:rFonts w:hint="eastAsia" w:hAnsi="仿宋_GB2312" w:cs="仿宋_GB2312"/>
                <w:color w:val="000000"/>
                <w:sz w:val="21"/>
                <w:szCs w:val="21"/>
                <w:lang w:val="en-US" w:eastAsia="zh-CN"/>
              </w:rPr>
              <w:t>桑植：果树上山 腾田种粮 恢复耕地九千多亩</w:t>
            </w: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noWrap w:val="0"/>
            <w:vAlign w:val="center"/>
          </w:tcPr>
          <w:p>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exact"/>
          <w:jc w:val="center"/>
        </w:trPr>
        <w:tc>
          <w:tcPr>
            <w:tcW w:w="1677" w:type="dxa"/>
            <w:vMerge w:val="continue"/>
            <w:noWrap w:val="0"/>
            <w:vAlign w:val="center"/>
          </w:tcPr>
          <w:p>
            <w:pPr>
              <w:spacing w:line="380" w:lineRule="exact"/>
              <w:ind w:firstLine="560"/>
              <w:rPr>
                <w:rFonts w:ascii="华文中宋" w:hAnsi="华文中宋" w:eastAsia="华文中宋"/>
                <w:color w:val="000000"/>
                <w:sz w:val="28"/>
              </w:rPr>
            </w:pPr>
          </w:p>
        </w:tc>
        <w:tc>
          <w:tcPr>
            <w:tcW w:w="3307"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noWrap w:val="0"/>
            <w:vAlign w:val="center"/>
          </w:tcPr>
          <w:p>
            <w:pPr>
              <w:spacing w:line="260" w:lineRule="exact"/>
              <w:rPr>
                <w:rFonts w:hint="default" w:hAnsi="仿宋_GB2312" w:cs="仿宋_GB2312"/>
                <w:color w:val="000000"/>
                <w:sz w:val="21"/>
                <w:szCs w:val="21"/>
                <w:lang w:val="en-US" w:eastAsia="zh-CN"/>
              </w:rPr>
            </w:pPr>
            <w:r>
              <w:rPr>
                <w:rFonts w:hint="eastAsia" w:hAnsi="仿宋_GB2312" w:cs="仿宋_GB2312"/>
                <w:color w:val="000000"/>
                <w:sz w:val="21"/>
                <w:szCs w:val="21"/>
                <w:lang w:val="en-US" w:eastAsia="zh-CN"/>
              </w:rPr>
              <w:t>电视消息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exact"/>
          <w:jc w:val="center"/>
        </w:trPr>
        <w:tc>
          <w:tcPr>
            <w:tcW w:w="1677" w:type="dxa"/>
            <w:vMerge w:val="continue"/>
            <w:noWrap w:val="0"/>
            <w:vAlign w:val="center"/>
          </w:tcPr>
          <w:p>
            <w:pPr>
              <w:spacing w:line="380" w:lineRule="exact"/>
              <w:ind w:firstLine="560"/>
              <w:rPr>
                <w:rFonts w:ascii="华文中宋" w:hAnsi="华文中宋" w:eastAsia="华文中宋"/>
                <w:color w:val="000000"/>
                <w:sz w:val="28"/>
              </w:rPr>
            </w:pPr>
          </w:p>
        </w:tc>
        <w:tc>
          <w:tcPr>
            <w:tcW w:w="3307"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noWrap w:val="0"/>
            <w:vAlign w:val="center"/>
          </w:tcPr>
          <w:p>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677" w:type="dxa"/>
            <w:noWrap w:val="0"/>
            <w:vAlign w:val="center"/>
          </w:tcPr>
          <w:p>
            <w:pPr>
              <w:spacing w:line="320" w:lineRule="exact"/>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2452" w:type="dxa"/>
            <w:gridSpan w:val="2"/>
            <w:noWrap w:val="0"/>
            <w:vAlign w:val="center"/>
          </w:tcPr>
          <w:p>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谭鹏波 龚晓敏 宋莉莉</w:t>
            </w:r>
          </w:p>
        </w:tc>
        <w:tc>
          <w:tcPr>
            <w:tcW w:w="855" w:type="dxa"/>
            <w:gridSpan w:val="2"/>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noWrap w:val="0"/>
            <w:vAlign w:val="center"/>
          </w:tcPr>
          <w:p>
            <w:pPr>
              <w:spacing w:line="260" w:lineRule="exact"/>
              <w:rPr>
                <w:rFonts w:hint="default" w:hAnsi="仿宋_GB2312" w:cs="仿宋_GB2312"/>
                <w:color w:val="000000"/>
                <w:sz w:val="21"/>
                <w:szCs w:val="21"/>
                <w:lang w:val="en-US" w:eastAsia="zh-CN"/>
              </w:rPr>
            </w:pPr>
            <w:r>
              <w:rPr>
                <w:rFonts w:hint="eastAsia" w:hAnsi="仿宋_GB2312" w:cs="仿宋_GB2312"/>
                <w:color w:val="000000"/>
                <w:sz w:val="21"/>
                <w:szCs w:val="21"/>
                <w:lang w:val="en-US" w:eastAsia="zh-CN"/>
              </w:rPr>
              <w:t>张玲 黄颖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77" w:type="dxa"/>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452" w:type="dxa"/>
            <w:gridSpan w:val="2"/>
            <w:noWrap w:val="0"/>
            <w:vAlign w:val="center"/>
          </w:tcPr>
          <w:p>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张家界市融媒体中心</w:t>
            </w:r>
          </w:p>
          <w:p>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时政部</w:t>
            </w:r>
          </w:p>
        </w:tc>
        <w:tc>
          <w:tcPr>
            <w:tcW w:w="855" w:type="dxa"/>
            <w:gridSpan w:val="2"/>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4640" w:type="dxa"/>
            <w:gridSpan w:val="3"/>
            <w:noWrap w:val="0"/>
            <w:vAlign w:val="center"/>
          </w:tcPr>
          <w:p>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张家界市融媒体中心</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exact"/>
          <w:jc w:val="center"/>
        </w:trPr>
        <w:tc>
          <w:tcPr>
            <w:tcW w:w="1677" w:type="dxa"/>
            <w:noWrap w:val="0"/>
            <w:vAlign w:val="center"/>
          </w:tcPr>
          <w:p>
            <w:pPr>
              <w:spacing w:line="440" w:lineRule="exact"/>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rPr>
              <w:t>名称和版次)</w:t>
            </w:r>
          </w:p>
        </w:tc>
        <w:tc>
          <w:tcPr>
            <w:tcW w:w="2452" w:type="dxa"/>
            <w:gridSpan w:val="2"/>
            <w:noWrap w:val="0"/>
            <w:vAlign w:val="center"/>
          </w:tcPr>
          <w:p>
            <w:pPr>
              <w:spacing w:line="260" w:lineRule="exac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《张家界新闻联播》</w:t>
            </w:r>
          </w:p>
        </w:tc>
        <w:tc>
          <w:tcPr>
            <w:tcW w:w="855" w:type="dxa"/>
            <w:gridSpan w:val="2"/>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noWrap w:val="0"/>
            <w:vAlign w:val="center"/>
          </w:tcPr>
          <w:p>
            <w:pPr>
              <w:spacing w:line="260" w:lineRule="exact"/>
              <w:rPr>
                <w:rFonts w:hint="default" w:hAnsi="仿宋_GB2312" w:cs="仿宋_GB2312"/>
                <w:color w:val="000000"/>
                <w:sz w:val="21"/>
                <w:szCs w:val="21"/>
                <w:lang w:val="en-US" w:eastAsia="zh-CN"/>
              </w:rPr>
            </w:pPr>
            <w:r>
              <w:rPr>
                <w:rFonts w:hint="eastAsia" w:hAnsi="仿宋_GB2312" w:cs="仿宋_GB2312"/>
                <w:color w:val="000000"/>
                <w:sz w:val="21"/>
                <w:szCs w:val="21"/>
                <w:lang w:val="en-US" w:eastAsia="zh-CN"/>
              </w:rPr>
              <w:t>2024年6月23日19时30分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exact"/>
          <w:jc w:val="center"/>
        </w:trPr>
        <w:tc>
          <w:tcPr>
            <w:tcW w:w="2322" w:type="dxa"/>
            <w:gridSpan w:val="2"/>
            <w:noWrap w:val="0"/>
            <w:vAlign w:val="center"/>
          </w:tcPr>
          <w:p>
            <w:pPr>
              <w:spacing w:line="340" w:lineRule="exact"/>
              <w:rPr>
                <w:rFonts w:hAnsi="仿宋"/>
                <w:color w:val="000000"/>
                <w:szCs w:val="21"/>
              </w:rPr>
            </w:pPr>
            <w:r>
              <w:rPr>
                <w:rFonts w:hint="eastAsia" w:ascii="华文中宋" w:hAnsi="华文中宋" w:eastAsia="华文中宋"/>
                <w:color w:val="000000"/>
                <w:sz w:val="28"/>
              </w:rPr>
              <w:t>新媒体作品填报网址</w:t>
            </w:r>
          </w:p>
        </w:tc>
        <w:tc>
          <w:tcPr>
            <w:tcW w:w="7302" w:type="dxa"/>
            <w:gridSpan w:val="6"/>
            <w:noWrap w:val="0"/>
            <w:vAlign w:val="center"/>
          </w:tcPr>
          <w:p>
            <w:pPr>
              <w:spacing w:line="240" w:lineRule="auto"/>
              <w:jc w:val="left"/>
              <w:rPr>
                <w:rFonts w:hAnsi="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0" w:hRule="atLeast"/>
          <w:jc w:val="center"/>
        </w:trPr>
        <w:tc>
          <w:tcPr>
            <w:tcW w:w="1677" w:type="dxa"/>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7947" w:type="dxa"/>
            <w:gridSpan w:val="7"/>
            <w:noWrap w:val="0"/>
            <w:vAlign w:val="center"/>
          </w:tcPr>
          <w:p>
            <w:pPr>
              <w:spacing w:line="320" w:lineRule="exact"/>
              <w:ind w:firstLine="420" w:firstLineChars="200"/>
              <w:jc w:val="both"/>
              <w:rPr>
                <w:rFonts w:hint="default" w:ascii="仿宋" w:hAnsi="仿宋" w:eastAsia="仿宋"/>
                <w:color w:val="000000"/>
                <w:w w:val="95"/>
                <w:szCs w:val="21"/>
                <w:lang w:val="en-US"/>
              </w:rPr>
            </w:pPr>
            <w:r>
              <w:rPr>
                <w:rFonts w:hint="eastAsia" w:hAnsi="仿宋_GB2312" w:cs="仿宋_GB2312"/>
                <w:color w:val="000000"/>
                <w:sz w:val="21"/>
                <w:szCs w:val="21"/>
                <w:lang w:val="en-US" w:eastAsia="zh-CN"/>
              </w:rPr>
              <w:t>九山半水半分田。一直以来，桑植县耕地资源紧张，存在“耕地上山、林果下山”等农业产业空间错配问题。2023年以来，桑植县严格落实田长制及配套制度，优化耕地布局，着力推动“山上换山下”，将陡坡农用地和平原林地置换，恢复耕地九千多亩，实现果树上山，腾田种粮，让良田变粮田。作者敏锐发现这一新闻题材，深入桑植县多个乡村实地采访，以芙蓉桥白族乡合群村、廖家村镇冲天溪村等为例，以点带面，通过多个生动案例，报道了桑植县在耕地保护上取得的丰硕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1" w:hRule="exact"/>
          <w:jc w:val="center"/>
        </w:trPr>
        <w:tc>
          <w:tcPr>
            <w:tcW w:w="1677" w:type="dxa"/>
            <w:noWrap w:val="0"/>
            <w:vAlign w:val="center"/>
          </w:tcPr>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7947" w:type="dxa"/>
            <w:gridSpan w:val="7"/>
            <w:noWrap w:val="0"/>
            <w:vAlign w:val="center"/>
          </w:tcPr>
          <w:p>
            <w:pPr>
              <w:spacing w:line="320" w:lineRule="exact"/>
              <w:ind w:firstLine="420" w:firstLineChars="200"/>
              <w:jc w:val="both"/>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耕地保护事关粮食安全、生态安全和社会稳定，习近平总书记多次做出重要指示批示，要求坚决制止各类耕地“非农化”、“非粮化”行为，守住耕地红线。该新闻紧扣耕地保护与粮食安全这一重大主题，聚焦桑植县创新性的“山上换山下”举措，深入挖掘桑植县在落实田长制，加大耕地保护方面的具体做法和经验，具有很强的指导性和借鉴意义。该新闻在新华社、湖南卫视等中央级、省级媒体播出，社会反响强烈。</w:t>
            </w:r>
          </w:p>
          <w:p>
            <w:pPr>
              <w:spacing w:line="320" w:lineRule="exact"/>
              <w:ind w:firstLine="420" w:firstLineChars="200"/>
              <w:jc w:val="both"/>
              <w:rPr>
                <w:rFonts w:hint="eastAsia" w:hAnsi="仿宋_GB2312" w:cs="仿宋_GB2312"/>
                <w:color w:val="000000"/>
                <w:sz w:val="21"/>
                <w:szCs w:val="21"/>
                <w:lang w:val="en-US" w:eastAsia="zh-CN"/>
              </w:rPr>
            </w:pPr>
          </w:p>
          <w:p>
            <w:pPr>
              <w:spacing w:line="320" w:lineRule="exact"/>
              <w:ind w:firstLine="420" w:firstLineChars="200"/>
              <w:jc w:val="both"/>
              <w:rPr>
                <w:rFonts w:hint="default" w:hAnsi="仿宋_GB2312" w:cs="仿宋_GB2312"/>
                <w:color w:val="000000"/>
                <w:sz w:val="21"/>
                <w:szCs w:val="21"/>
                <w:lang w:val="en-US" w:eastAsia="zh-CN"/>
              </w:rPr>
            </w:pPr>
          </w:p>
          <w:p>
            <w:pPr>
              <w:spacing w:line="320" w:lineRule="exact"/>
              <w:ind w:firstLine="420" w:firstLineChars="200"/>
              <w:jc w:val="both"/>
              <w:rPr>
                <w:rFonts w:hint="default" w:hAnsi="仿宋_GB2312" w:cs="仿宋_GB2312"/>
                <w:color w:val="00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exact"/>
          <w:jc w:val="center"/>
        </w:trPr>
        <w:tc>
          <w:tcPr>
            <w:tcW w:w="1677"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7947" w:type="dxa"/>
            <w:gridSpan w:val="7"/>
            <w:noWrap w:val="0"/>
            <w:vAlign w:val="center"/>
          </w:tcPr>
          <w:p>
            <w:pPr>
              <w:spacing w:line="320" w:lineRule="exact"/>
              <w:ind w:firstLine="420" w:firstLineChars="200"/>
              <w:jc w:val="both"/>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 xml:space="preserve">该报道主题鲜明，结构清晰，逻辑连贯，具有较高的社会价值，为其他面临类似耕地资源紧张和产业布局错配问题的地区提供了宝贵的借鉴经验。同时，也向社会传达了重视耕地保护、积极探索可持续农业发展道路的理念。    </w:t>
            </w:r>
          </w:p>
          <w:p>
            <w:pPr>
              <w:spacing w:line="320" w:lineRule="exact"/>
              <w:ind w:firstLine="420" w:firstLineChars="200"/>
              <w:jc w:val="both"/>
              <w:rPr>
                <w:rFonts w:hint="eastAsia" w:hAnsi="仿宋_GB2312" w:cs="仿宋_GB2312"/>
                <w:color w:val="000000"/>
                <w:sz w:val="21"/>
                <w:szCs w:val="21"/>
                <w:lang w:val="en-US" w:eastAsia="zh-CN"/>
              </w:rPr>
            </w:pPr>
          </w:p>
          <w:p>
            <w:pPr>
              <w:spacing w:line="360" w:lineRule="exact"/>
              <w:ind w:left="3840" w:leftChars="1600"/>
              <w:rPr>
                <w:rFonts w:hint="eastAsia" w:ascii="华文中宋" w:hAnsi="华文中宋" w:eastAsia="华文中宋"/>
                <w:color w:val="000000"/>
                <w:spacing w:val="-2"/>
                <w:sz w:val="28"/>
              </w:rPr>
            </w:pPr>
          </w:p>
          <w:p>
            <w:pPr>
              <w:spacing w:line="360" w:lineRule="exact"/>
              <w:ind w:left="3840" w:leftChars="1600"/>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ind w:left="3840" w:leftChars="1600"/>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25</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1677" w:type="dxa"/>
            <w:tcBorders>
              <w:bottom w:val="single" w:color="auto" w:sz="4" w:space="0"/>
            </w:tcBorders>
            <w:noWrap w:val="0"/>
            <w:vAlign w:val="center"/>
          </w:tcPr>
          <w:p>
            <w:pPr>
              <w:spacing w:line="340" w:lineRule="exact"/>
              <w:rPr>
                <w:rFonts w:hint="eastAsia" w:ascii="华文中宋" w:hAnsi="华文中宋" w:eastAsia="华文中宋"/>
                <w:color w:val="000000"/>
                <w:sz w:val="28"/>
              </w:rPr>
            </w:pPr>
            <w:r>
              <w:rPr>
                <w:rFonts w:hint="eastAsia" w:ascii="华文中宋" w:hAnsi="华文中宋" w:eastAsia="华文中宋"/>
                <w:color w:val="000000"/>
                <w:sz w:val="28"/>
              </w:rPr>
              <w:t>联系人</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（作者）</w:t>
            </w:r>
          </w:p>
        </w:tc>
        <w:tc>
          <w:tcPr>
            <w:tcW w:w="2730" w:type="dxa"/>
            <w:gridSpan w:val="3"/>
            <w:tcBorders>
              <w:bottom w:val="single" w:color="auto" w:sz="4" w:space="0"/>
            </w:tcBorders>
            <w:noWrap w:val="0"/>
            <w:vAlign w:val="center"/>
          </w:tcPr>
          <w:p>
            <w:pPr>
              <w:ind w:firstLine="560"/>
              <w:rPr>
                <w:rFonts w:hint="default" w:ascii="华文中宋" w:hAnsi="华文中宋" w:eastAsia="华文中宋"/>
                <w:color w:val="000000"/>
                <w:sz w:val="28"/>
                <w:lang w:val="en-US" w:eastAsia="zh-CN"/>
              </w:rPr>
            </w:pPr>
            <w:r>
              <w:rPr>
                <w:rFonts w:hint="eastAsia" w:hAnsi="仿宋_GB2312" w:cs="仿宋_GB2312"/>
                <w:color w:val="000000"/>
                <w:sz w:val="21"/>
                <w:szCs w:val="21"/>
                <w:lang w:val="en-US" w:eastAsia="zh-CN"/>
              </w:rPr>
              <w:t>谭鹏波</w:t>
            </w:r>
          </w:p>
        </w:tc>
        <w:tc>
          <w:tcPr>
            <w:tcW w:w="1137" w:type="dxa"/>
            <w:gridSpan w:val="2"/>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手机</w:t>
            </w:r>
          </w:p>
        </w:tc>
        <w:tc>
          <w:tcPr>
            <w:tcW w:w="4080" w:type="dxa"/>
            <w:gridSpan w:val="2"/>
            <w:tcBorders>
              <w:bottom w:val="single" w:color="auto" w:sz="4" w:space="0"/>
            </w:tcBorders>
            <w:noWrap w:val="0"/>
            <w:vAlign w:val="center"/>
          </w:tcPr>
          <w:p>
            <w:pPr>
              <w:spacing w:line="340" w:lineRule="exact"/>
              <w:ind w:firstLine="560"/>
              <w:rPr>
                <w:rFonts w:hint="default" w:ascii="华文中宋" w:hAnsi="华文中宋" w:eastAsia="华文中宋"/>
                <w:color w:val="000000"/>
                <w:sz w:val="28"/>
                <w:lang w:val="en-US" w:eastAsia="zh-CN"/>
              </w:rPr>
            </w:pPr>
            <w:r>
              <w:rPr>
                <w:rFonts w:hint="eastAsia" w:hAnsi="仿宋_GB2312" w:cs="仿宋_GB2312"/>
                <w:color w:val="000000"/>
                <w:sz w:val="21"/>
                <w:szCs w:val="21"/>
                <w:lang w:val="en-US" w:eastAsia="zh-CN"/>
              </w:rPr>
              <w:t>15874424757</w:t>
            </w:r>
          </w:p>
        </w:tc>
      </w:tr>
    </w:tbl>
    <w:p>
      <w:pPr>
        <w:jc w:val="both"/>
      </w:pPr>
    </w:p>
    <w:p>
      <w:pPr>
        <w:pStyle w:val="3"/>
        <w:ind w:left="0" w:leftChars="0" w:firstLine="0" w:firstLineChars="0"/>
        <w:jc w:val="left"/>
        <w:rPr>
          <w:rFonts w:hint="eastAsia" w:ascii="仿宋_GB2312" w:hAnsi="Times New Roman" w:eastAsia="仿宋_GB2312" w:cs="Times New Roman"/>
          <w:kern w:val="2"/>
          <w:sz w:val="21"/>
          <w:szCs w:val="21"/>
          <w:lang w:val="en-US" w:eastAsia="zh-CN" w:bidi="ar-SA"/>
        </w:rPr>
      </w:pPr>
    </w:p>
    <w:p>
      <w:pPr>
        <w:rPr>
          <w:rFonts w:hint="default"/>
        </w:rPr>
      </w:pPr>
      <w:r>
        <w:rPr>
          <w:rFonts w:hint="default"/>
        </w:rPr>
        <w:drawing>
          <wp:inline distT="0" distB="0" distL="114300" distR="114300">
            <wp:extent cx="2628900" cy="2628900"/>
            <wp:effectExtent l="0" t="0" r="0" b="0"/>
            <wp:docPr id="1" name="图片 1" descr="10、桑植：果树上山 腾田种粮 恢复耕地九千多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0、桑植：果树上山 腾田种粮 恢复耕地九千多亩"/>
                    <pic:cNvPicPr>
                      <a:picLocks noChangeAspect="1"/>
                    </pic:cNvPicPr>
                  </pic:nvPicPr>
                  <pic:blipFill>
                    <a:blip r:embed="rId6"/>
                    <a:stretch>
                      <a:fillRect/>
                    </a:stretch>
                  </pic:blipFill>
                  <pic:spPr>
                    <a:xfrm>
                      <a:off x="0" y="0"/>
                      <a:ext cx="2628900" cy="2628900"/>
                    </a:xfrm>
                    <a:prstGeom prst="rect">
                      <a:avLst/>
                    </a:prstGeom>
                  </pic:spPr>
                </pic:pic>
              </a:graphicData>
            </a:graphic>
          </wp:inline>
        </w:drawing>
      </w:r>
    </w:p>
    <w:p>
      <w:pPr>
        <w:rPr>
          <w:rFonts w:hint="default"/>
          <w:sz w:val="32"/>
          <w:szCs w:val="32"/>
        </w:rPr>
      </w:pPr>
      <w:r>
        <w:rPr>
          <w:rFonts w:hint="eastAsia" w:hAnsi="仿宋_GB2312" w:cs="仿宋_GB2312"/>
          <w:color w:val="000000"/>
          <w:sz w:val="32"/>
          <w:szCs w:val="32"/>
          <w:lang w:val="en-US" w:eastAsia="zh-CN"/>
        </w:rPr>
        <w:t>桑植：果树上山 腾田种粮 恢复耕地九千多亩</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方正书宋_GBK"/>
    <w:panose1 w:val="02010600040001010101"/>
    <w:charset w:val="00"/>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FE4213"/>
    <w:rsid w:val="3BB69F0A"/>
    <w:rsid w:val="DFFE4213"/>
    <w:rsid w:val="FFFFC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460" w:lineRule="exact"/>
      <w:ind w:firstLine="585" w:firstLineChars="195"/>
    </w:pPr>
    <w:rPr>
      <w:rFonts w:ascii="Calibri" w:hAnsi="Calibri" w:eastAsia="宋体" w:cs="Times New Roman"/>
      <w:sz w:val="30"/>
    </w:rPr>
  </w:style>
  <w:style w:type="paragraph" w:styleId="3">
    <w:name w:val="Body Text First Indent 2"/>
    <w:basedOn w:val="2"/>
    <w:qFormat/>
    <w:uiPriority w:val="0"/>
    <w:pPr>
      <w:ind w:firstLine="420" w:firstLineChars="200"/>
    </w:pPr>
    <w:rPr>
      <w:rFonts w:ascii="Calibri" w:hAnsi="Calibri" w:eastAsia="宋体" w:cs="Times New Roman"/>
    </w:rPr>
  </w:style>
  <w:style w:type="character" w:styleId="6">
    <w:name w:val="Hyperlink"/>
    <w:basedOn w:val="5"/>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2025-03-05T01:53:00Z</dcterms:created>
  <dc:creator>greatwall</dc:creator>
  <cp:lastModifiedBy>greatwall</cp:lastModifiedBy>
  <dcterms:modified xsi:type="dcterms:W3CDTF">2025-03-04T17:37:05Z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